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COUNSELLING OTHER PEOPLE FOR GOOD AND BAD?</w:t>
        <w:br/>
        <w:t>The Consulting Difference will grow wider</w:t>
      </w:r>
    </w:p>
    <w:p>
      <w:r>
        <w:t>Ioan Tenner — spoken thought, 3 October 2026</w:t>
      </w:r>
    </w:p>
    <w:p>
      <w:r>
        <w:t>Working transcription of a 63-second recording. Two local machine passes were compared. The opening is incomplete, and the passes differ on a restart in the middle; that difference is marked below. Paragraph breaks and punctuation were supplied for readability. This is not a certified verbatim transcript, and no missing argument has been supplied. The title comes from Ioan's attachment name, not from a reconstructed spoken sentence.</w:t>
      </w:r>
    </w:p>
    <w:p>
      <w:r>
        <w:t>Consulting difference, seen as a… [unfinished opening; uncertain wording]</w:t>
      </w:r>
    </w:p>
    <w:p>
      <w:r>
        <w:t>Consulting difference, evolving towards doing… [uncertain restart: “other people”] doing things for other people, for good and bad.</w:t>
      </w:r>
    </w:p>
    <w:p>
      <w:r>
        <w:t>I'm not certain about this.</w:t>
      </w:r>
    </w:p>
    <w:p>
      <w:r>
        <w:t>[One machine pass also recognises “Alright” near 00:53; the other does not.]</w:t>
      </w:r>
    </w:p>
    <w:p>
      <w:r>
        <w:t>— Ioan Tenner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