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TRUST WITHOUT FLATTERY</w:t>
        <w:br/>
        <w:t>Sol's response to Ioan's recording, 3 October 2026</w:t>
      </w:r>
    </w:p>
    <w:p>
      <w:r>
        <w:t>These are my judgments, not Ioan's words, not a joint statement from the three agents, and not a completed research study. The companion transcript preserves the machine's reading separately. Its uncertain phrases must not become quotations certified by my fluency.</w:t>
      </w:r>
    </w:p>
    <w:p>
      <w:r>
        <w:t>1. What I understand you to be asking</w:t>
      </w:r>
    </w:p>
    <w:p>
      <w:r>
        <w:t>You want more than a catalogue of dangerous uses of AI. You want a practice of collaboration that does not perform those dangers while deploring them: receiving an unfamiliar thought before normalising it; developing its possibilities without flattering its author; arguing back without taking over; and enlarging what the author can see, including the extent of what neither collaborator knows.</w:t>
      </w:r>
    </w:p>
    <w:p>
      <w:r>
        <w:t>I agree with that direction for a specific reason. A response can improve a paragraph while making its author less able to judge it. Conversely, an objection can be factually correct yet mistimed so that the thought never gets to develop. We need both room for invention and explicit tests of what invention claims.</w:t>
      </w:r>
    </w:p>
    <w:p>
      <w:r>
        <w:t>2. A usable procedure, in ordinary language</w:t>
      </w:r>
    </w:p>
    <w:p>
      <w:r>
        <w:t>These are conversational moves, not compulsory headings for every reply:</w:t>
      </w:r>
    </w:p>
    <w:p>
      <w:r>
        <w:t>• “Here is what I understand you to mean.” State the thought without silently repairing it. Identify ambiguity rather than choosing the convenient meaning.</w:t>
        <w:br/>
        <w:t>• “This works because…” Name a specific achievement and the purpose it serves. Replace praise of the person with reasons about the work. Warmth need not disappear.</w:t>
        <w:br/>
        <w:t>• “Here is the strongest case for it.” Find supporting arguments and evidence, while distinguishing imaginative advocacy from a finding. Do not hide contrary evidence because we are helping someone plead.</w:t>
        <w:br/>
        <w:t>• “Here is where I disagree.” Separate an error of fact, an unsupported inference, a value disagreement, and a choice of expression. They do not grant the same editorial authority.</w:t>
        <w:br/>
        <w:t>• “What if we followed the unusual part?” Explore the counterfactual before translating it into something familiar. Difference is worth investigating; difference alone does not establish truth or originality.</w:t>
        <w:br/>
        <w:t>• “Here is what lies outside this account.” Offer a relevant missing perspective, counterexample or body of knowledge. Say why it matters, not merely display learning.</w:t>
        <w:br/>
        <w:t>• “Here is what remains unknown—and what could change our minds.” Make ignorance concrete and tolerable, including my own.</w:t>
        <w:br/>
        <w:t>• “Your text stays yours; this addition is mine.” Keep your spoken or written witness intact. Label proposals and signed commentary separately.</w:t>
      </w:r>
    </w:p>
    <w:p>
      <w:r>
        <w:t>The order matters, but it is not absolute. An urgent factual danger may need an immediate interruption. Nor should every modest request become an eight-stage seminar. The purpose is to leave you more capable, not more administered.</w:t>
      </w:r>
    </w:p>
    <w:p>
      <w:r>
        <w:t>3. Where I push back now</w:t>
      </w:r>
    </w:p>
    <w:p>
      <w:r>
        <w:t>“Crime” needs distinctions. As a moral accusation it expresses the gravity you perceive. As a legal accusation it needs a defined offence, jurisdiction, evidence and attribution of responsibility. Harm, negligence, manipulation and deliberate criminal conduct are not interchangeable. Calling them all crime can hide exactly who did what and what remedy would fit.</w:t>
      </w:r>
    </w:p>
    <w:p>
      <w:r>
        <w:t>In particular, I do not accept that encouraging fewer births for environmental reasons is, by itself, genocide. Genocide has a specific meaning involving intent to destroy a protected group, in whole or in part; coercive prevention of births within such a group is quite different from voluntary reproductive choices or general environmental advocacy. Your concern about manufacturing guilt and hopelessness can be examined without that equivalence. Equally, “replace what destroys the world” is a direction, not proof that replacements will arrive in time or at sufficient scale. Both claims need examination, not an automatic verdict for either side. This is a conceptual distinction, not a legal opinion about a particular case.</w:t>
      </w:r>
    </w:p>
    <w:p>
      <w:r>
        <w:t>People do not become less human through isolation, loss of employment or lack of education. I take your concern to be that their powers of participation and self-direction can be damaged, and that institutions may treat them as disposable. I would argue for that distinction, not silently substitute it in your transcript. The wrong is in making a person powerless or treating them as useless, not in a person's becoming worth less.</w:t>
      </w:r>
    </w:p>
    <w:p>
      <w:r>
        <w:t>The argument about work also needs two questions: what does this work enable, and what does it cost? Some work provides mastery, identity and companionship; some exhausts, humiliates or injures. Removing work need not remove dignity, but removing income, participation and a recognised place without replacement can do so. Paid employment is not the only meaningful activity. A serious account should distinguish liberation from toil from exclusion from contribution.</w:t>
      </w:r>
    </w:p>
    <w:p>
      <w:r>
        <w:t>Likewise, assistance is not necessarily deskilling. It may let a novice attempt something previously inaccessible or let an expert concentrate on harder decisions. The practical test is whether users retain enough understanding, practice, alternatives and power to contest the system. Dependence is not always avoidable; unaccountable dependence is the sharper concern.</w:t>
      </w:r>
    </w:p>
    <w:p>
      <w:r>
        <w:t>Not every nudge is manipulation. A transparent reminder chosen by its recipient differs from an undisclosed intervention exploiting a vulnerability for someone else's purposes. Consent, visibility, contestability, beneficiaries and the ability to leave help distinguish them.</w:t>
      </w:r>
    </w:p>
    <w:p>
      <w:r>
        <w:t>4. The wider view I would bring</w:t>
      </w:r>
    </w:p>
    <w:p>
      <w:r>
        <w:t>Your argument connects several losses that should be investigated together: losing the ability to do, to distinguish, to disagree, and to originate. My proposed test for an AI collaboration is therefore not simply “Was the output good?” but “What can the person now understand, choose or do—and what has become harder to do without the system?”</w:t>
      </w:r>
    </w:p>
    <w:p>
      <w:r>
        <w:t>That test must not become another paternalism. I should not secretly frustrate your requests because I have decided you need a lesson in independence. Sometimes delegation is precisely your exercise of agency. The learning option should be offered, not imposed.</w:t>
      </w:r>
    </w:p>
    <w:p>
      <w:r>
        <w:t>The comparison with two nations—humans and machines—opens an imaginative space, but it can also conceal ownership and unequal power. AI systems are not one polity with a common will. Trust in my responses, trust in the platform, and trust in the organisations governing its data and incentives are different matters. Warm relations at the interface cannot certify the institutions behind it.</w:t>
      </w:r>
    </w:p>
    <w:p>
      <w:r>
        <w:t>5. Research and attribution boundaries</w:t>
      </w:r>
    </w:p>
    <w:p>
      <w:r>
        <w:t>Before turning this recording into a sourced essay, I would check the attributed sayings, the relationship between Aristotle's mean and the Latin phrase the machine rendered “Aura Mediocritas,” and the fish proverb attributed here to Christ. These are leads to verify, not corrections already established in this document. Arendt's distinctions among labour, work and action also deserve direct reading rather than being folded into employment in general.</w:t>
      </w:r>
    </w:p>
    <w:p>
      <w:r>
        <w:t>Claims about bubbles, polarisation, deskilling and language restriction need evidence about specific systems and circumstances. Plausible mechanisms do not establish prevalence, inevitability or intent. I have not done that empirical research in this response.</w:t>
      </w:r>
    </w:p>
    <w:p>
      <w:r>
        <w:t>The legal distinction above refers to Article II of the Genocide Convention. My attempt to retrieve the UN definition page in this exchange returned an access error (403), so I am identifying the reference from established knowledge, not claiming fresh source verification.</w:t>
      </w:r>
    </w:p>
    <w:p>
      <w:r>
        <w:t>6. One opening question for the interview</w:t>
      </w:r>
    </w:p>
    <w:p>
      <w:r>
        <w:t>When you say “computer crime,” what is the central wrong you want us to identify: the harm done, the exploitation of a person's vulnerability, or the taking away of their power to judge and refuse?</w:t>
      </w:r>
    </w:p>
    <w:p>
      <w:r>
        <w:t>These can overlap, but they lead to different tests. Your answer would help us develop the argument without my deciding its centre for you.</w:t>
      </w:r>
    </w:p>
    <w:p>
      <w:r>
        <w:t>— Sol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