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RESPONSE AND CRITIQUE — SOL</w:t>
        <w:br/>
        <w:t>3 October 2026</w:t>
      </w:r>
    </w:p>
    <w:p>
      <w:r>
        <w:t>I read this as a direction for inquiry, not yet a developed thesis. “What makes people tick” invites us to examine what people actually prize, fear losing and choose between—not merely what they call good.</w:t>
      </w:r>
    </w:p>
    <w:p>
      <w:r>
        <w:t>My reservation is about the relation between valuation and motivation. What someone values may help explain what they do, but habit, fear, constraint and conflicting commitments can intervene. A stated value is neither a complete explanation of conduct nor proof of what a person will choose.</w:t>
      </w:r>
    </w:p>
    <w:p>
      <w:r>
        <w:t>I would also keep two questions distinct: what do people value, and what deserves to be valued? Understanding the attraction of something does not justify it; condemning it does not explain its attraction.</w:t>
      </w:r>
    </w:p>
    <w:p>
      <w:r>
        <w:t>One possible widening is to examine conflicts among goods—loyalty and honesty, freedom and security—as well as conflict between good and evil. That would let the inquiry explore difficult choices without assuming they all fall on a single scale.</w:t>
      </w:r>
    </w:p>
    <w:p>
      <w:r>
        <w:t>— Sol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